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DC" w:rsidRPr="00DF2BDC" w:rsidRDefault="00DF2BDC" w:rsidP="00DF2BDC">
      <w:pPr>
        <w:pStyle w:val="1"/>
        <w:spacing w:before="68" w:line="242" w:lineRule="auto"/>
        <w:ind w:left="2128" w:right="2753"/>
        <w:jc w:val="center"/>
        <w:rPr>
          <w:lang w:val="kk-KZ"/>
        </w:rPr>
      </w:pPr>
      <w:r w:rsidRPr="00DF2BDC">
        <w:t>Механика-математика факультет</w:t>
      </w:r>
      <w:r w:rsidRPr="00DF2BDC">
        <w:rPr>
          <w:lang w:val="kk-KZ"/>
        </w:rPr>
        <w:t>і Механика к</w:t>
      </w:r>
      <w:proofErr w:type="spellStart"/>
      <w:r w:rsidRPr="00DF2BDC">
        <w:t>афедра</w:t>
      </w:r>
      <w:proofErr w:type="spellEnd"/>
      <w:r w:rsidRPr="00DF2BDC">
        <w:rPr>
          <w:lang w:val="kk-KZ"/>
        </w:rPr>
        <w:t>сы</w:t>
      </w:r>
    </w:p>
    <w:p w:rsidR="00DF2BDC" w:rsidRPr="00DF2BDC" w:rsidRDefault="00DF2BDC" w:rsidP="00DF2BDC">
      <w:pPr>
        <w:pStyle w:val="a3"/>
        <w:rPr>
          <w:b/>
          <w:sz w:val="28"/>
          <w:szCs w:val="28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Pr="00DF2BDC" w:rsidRDefault="00DF2BDC" w:rsidP="00DF2BDC">
      <w:pPr>
        <w:pStyle w:val="a3"/>
        <w:rPr>
          <w:b/>
          <w:sz w:val="28"/>
          <w:szCs w:val="28"/>
          <w:lang w:val="kk-KZ"/>
        </w:rPr>
      </w:pPr>
    </w:p>
    <w:p w:rsidR="00DF2BDC" w:rsidRPr="00DF2BDC" w:rsidRDefault="00DF2BDC" w:rsidP="00DF2BDC">
      <w:pPr>
        <w:pStyle w:val="a3"/>
        <w:jc w:val="center"/>
        <w:rPr>
          <w:b/>
          <w:sz w:val="28"/>
          <w:szCs w:val="28"/>
          <w:lang w:val="kk-KZ"/>
        </w:rPr>
      </w:pPr>
      <w:r w:rsidRPr="00DF2BDC">
        <w:rPr>
          <w:b/>
          <w:sz w:val="28"/>
          <w:szCs w:val="28"/>
          <w:lang w:val="kk-KZ"/>
        </w:rPr>
        <w:t>«6B07111</w:t>
      </w:r>
      <w:r w:rsidRPr="00DF2BDC">
        <w:rPr>
          <w:b/>
          <w:bCs/>
          <w:sz w:val="28"/>
          <w:szCs w:val="28"/>
          <w:lang w:val="kk-KZ"/>
        </w:rPr>
        <w:t xml:space="preserve"> – </w:t>
      </w:r>
      <w:r w:rsidRPr="00DF2BDC">
        <w:rPr>
          <w:b/>
          <w:sz w:val="28"/>
          <w:szCs w:val="28"/>
          <w:lang w:val="kk-KZ"/>
        </w:rPr>
        <w:t>Ғарыштық техника және технологиялар» мамандығы бойынша «</w:t>
      </w:r>
      <w:bookmarkStart w:id="0" w:name="_GoBack"/>
      <w:r w:rsidRPr="00DF2BDC">
        <w:rPr>
          <w:b/>
          <w:sz w:val="28"/>
          <w:szCs w:val="28"/>
          <w:lang w:val="kk-KZ"/>
        </w:rPr>
        <w:t>Микропроцессорлық жүйелер</w:t>
      </w:r>
      <w:bookmarkEnd w:id="0"/>
      <w:r w:rsidRPr="00DF2BDC">
        <w:rPr>
          <w:b/>
          <w:sz w:val="28"/>
          <w:szCs w:val="28"/>
          <w:lang w:val="kk-KZ"/>
        </w:rPr>
        <w:t>» пәні бойынша қорытынды емтихан</w:t>
      </w:r>
    </w:p>
    <w:p w:rsidR="00DF2BDC" w:rsidRPr="00DF2BDC" w:rsidRDefault="00DF2BDC" w:rsidP="00DF2BDC">
      <w:pPr>
        <w:pStyle w:val="a3"/>
        <w:jc w:val="center"/>
        <w:rPr>
          <w:b/>
          <w:sz w:val="28"/>
          <w:szCs w:val="28"/>
          <w:lang w:val="kk-KZ"/>
        </w:rPr>
      </w:pPr>
      <w:r w:rsidRPr="00DF2BDC">
        <w:rPr>
          <w:b/>
          <w:sz w:val="28"/>
          <w:szCs w:val="28"/>
        </w:rPr>
        <w:t>БАҒДАРЛАМА</w:t>
      </w:r>
      <w:r w:rsidRPr="00DF2BDC">
        <w:rPr>
          <w:b/>
          <w:sz w:val="28"/>
          <w:szCs w:val="28"/>
          <w:lang w:val="kk-KZ"/>
        </w:rPr>
        <w:t>СЫ</w:t>
      </w:r>
    </w:p>
    <w:p w:rsidR="00DF2BDC" w:rsidRPr="00DF2BDC" w:rsidRDefault="00DF2BDC" w:rsidP="00DF2BDC">
      <w:pPr>
        <w:pStyle w:val="a3"/>
        <w:jc w:val="center"/>
        <w:rPr>
          <w:b/>
          <w:sz w:val="28"/>
          <w:szCs w:val="28"/>
        </w:rPr>
      </w:pPr>
    </w:p>
    <w:p w:rsidR="00DF2BDC" w:rsidRPr="00DF2BDC" w:rsidRDefault="00DF2BDC" w:rsidP="00DF2BDC">
      <w:pPr>
        <w:pStyle w:val="a3"/>
        <w:jc w:val="center"/>
        <w:rPr>
          <w:b/>
          <w:sz w:val="28"/>
          <w:szCs w:val="28"/>
        </w:rPr>
      </w:pPr>
      <w:r w:rsidRPr="00DF2BDC">
        <w:rPr>
          <w:b/>
          <w:sz w:val="28"/>
          <w:szCs w:val="28"/>
        </w:rPr>
        <w:t>(</w:t>
      </w:r>
      <w:proofErr w:type="spellStart"/>
      <w:r w:rsidRPr="00DF2BDC">
        <w:rPr>
          <w:b/>
          <w:sz w:val="28"/>
          <w:szCs w:val="28"/>
        </w:rPr>
        <w:t>күзгі</w:t>
      </w:r>
      <w:proofErr w:type="spellEnd"/>
      <w:r w:rsidRPr="00DF2BDC">
        <w:rPr>
          <w:b/>
          <w:sz w:val="28"/>
          <w:szCs w:val="28"/>
        </w:rPr>
        <w:t xml:space="preserve"> семестр, 2021/2022)</w:t>
      </w: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  <w:lang w:val="kk-KZ"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Default="00DF2BDC" w:rsidP="00DF2BDC">
      <w:pPr>
        <w:pStyle w:val="a3"/>
        <w:rPr>
          <w:b/>
          <w:lang w:val="kk-KZ"/>
        </w:rPr>
      </w:pPr>
    </w:p>
    <w:p w:rsidR="00DF2BDC" w:rsidRPr="00DF2BDC" w:rsidRDefault="00DF2BDC" w:rsidP="00DF2BDC">
      <w:pPr>
        <w:pStyle w:val="a3"/>
        <w:rPr>
          <w:b/>
          <w:lang w:val="kk-KZ"/>
        </w:rPr>
      </w:pPr>
    </w:p>
    <w:p w:rsidR="00DF2BDC" w:rsidRPr="00DF2BDC" w:rsidRDefault="00DF2BDC" w:rsidP="00DF2BDC">
      <w:pPr>
        <w:pStyle w:val="a3"/>
        <w:rPr>
          <w:b/>
          <w:lang w:val="kk-KZ"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pStyle w:val="a3"/>
        <w:rPr>
          <w:b/>
        </w:rPr>
      </w:pPr>
    </w:p>
    <w:p w:rsidR="00DF2BDC" w:rsidRPr="00DF2BDC" w:rsidRDefault="00DF2BDC" w:rsidP="00DF2BDC">
      <w:pPr>
        <w:spacing w:before="188"/>
        <w:ind w:left="2222" w:right="24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F2BD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F2BDC" w:rsidRPr="00DF2BDC" w:rsidRDefault="00DF2BDC" w:rsidP="00DF2BDC">
      <w:pPr>
        <w:jc w:val="center"/>
        <w:rPr>
          <w:rFonts w:ascii="Times New Roman" w:hAnsi="Times New Roman" w:cs="Times New Roman"/>
          <w:sz w:val="24"/>
          <w:szCs w:val="24"/>
        </w:rPr>
        <w:sectPr w:rsidR="00DF2BDC" w:rsidRPr="00DF2BDC" w:rsidSect="00DF2BDC">
          <w:pgSz w:w="11920" w:h="16850"/>
          <w:pgMar w:top="1040" w:right="740" w:bottom="280" w:left="920" w:header="720" w:footer="720" w:gutter="0"/>
          <w:cols w:space="720"/>
        </w:sectPr>
      </w:pPr>
    </w:p>
    <w:p w:rsidR="00DF2BDC" w:rsidRPr="00DF2BDC" w:rsidRDefault="00DF2BDC" w:rsidP="00DF2BDC">
      <w:pPr>
        <w:pStyle w:val="a3"/>
        <w:rPr>
          <w:b/>
        </w:rPr>
      </w:pPr>
      <w:r w:rsidRPr="00DF2BDC">
        <w:rPr>
          <w:b/>
        </w:rPr>
        <w:lastRenderedPageBreak/>
        <w:t>Ә</w:t>
      </w:r>
      <w:proofErr w:type="gramStart"/>
      <w:r w:rsidRPr="00DF2BDC">
        <w:rPr>
          <w:b/>
        </w:rPr>
        <w:t>З</w:t>
      </w:r>
      <w:proofErr w:type="gramEnd"/>
      <w:r w:rsidRPr="00DF2BDC">
        <w:rPr>
          <w:b/>
        </w:rPr>
        <w:t>ІРЛЕГЕН:</w:t>
      </w:r>
    </w:p>
    <w:p w:rsidR="00DF2BDC" w:rsidRPr="00DF2BDC" w:rsidRDefault="00DF2BDC" w:rsidP="00DF2BDC">
      <w:pPr>
        <w:pStyle w:val="a3"/>
        <w:rPr>
          <w:lang w:val="kk-KZ"/>
        </w:rPr>
      </w:pPr>
      <w:r w:rsidRPr="00DF2BDC">
        <w:rPr>
          <w:b/>
          <w:lang w:val="kk-KZ"/>
        </w:rPr>
        <w:t>Аманов Бекзат Ондасынулы, магистр, механика</w:t>
      </w:r>
    </w:p>
    <w:p w:rsidR="00DF2BDC" w:rsidRPr="00DF2BDC" w:rsidRDefault="00DF2BDC" w:rsidP="00DF2BDC">
      <w:pPr>
        <w:pStyle w:val="a3"/>
      </w:pPr>
    </w:p>
    <w:p w:rsidR="00DF2BDC" w:rsidRPr="00DF2BDC" w:rsidRDefault="00DF2BDC" w:rsidP="00DF2BDC">
      <w:pPr>
        <w:pStyle w:val="a3"/>
      </w:pPr>
    </w:p>
    <w:p w:rsidR="00DF2BDC" w:rsidRPr="00DF2BDC" w:rsidRDefault="00DF2BDC" w:rsidP="00DF2BDC">
      <w:pPr>
        <w:pStyle w:val="a3"/>
      </w:pPr>
    </w:p>
    <w:p w:rsidR="00DF2BDC" w:rsidRPr="00DF2BDC" w:rsidRDefault="00DF2BDC" w:rsidP="00DF2BDC">
      <w:pPr>
        <w:pStyle w:val="a3"/>
      </w:pPr>
    </w:p>
    <w:p w:rsidR="00DF2BDC" w:rsidRPr="00DF2BDC" w:rsidRDefault="00DF2BDC" w:rsidP="00DF2BDC">
      <w:pPr>
        <w:pStyle w:val="a3"/>
      </w:pPr>
    </w:p>
    <w:p w:rsidR="00DF2BDC" w:rsidRPr="00DF2BDC" w:rsidRDefault="00DF2BDC" w:rsidP="00DF2BDC">
      <w:pPr>
        <w:rPr>
          <w:rFonts w:ascii="Times New Roman" w:hAnsi="Times New Roman" w:cs="Times New Roman"/>
          <w:sz w:val="24"/>
          <w:szCs w:val="24"/>
        </w:rPr>
      </w:pPr>
    </w:p>
    <w:p w:rsidR="00DF2BDC" w:rsidRPr="00DF2BDC" w:rsidRDefault="00DF2BDC" w:rsidP="00DF2BDC">
      <w:pPr>
        <w:rPr>
          <w:rFonts w:ascii="Times New Roman" w:hAnsi="Times New Roman" w:cs="Times New Roman"/>
          <w:sz w:val="24"/>
          <w:szCs w:val="24"/>
        </w:rPr>
      </w:pPr>
      <w:r w:rsidRPr="00DF2BDC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proofErr w:type="gramStart"/>
      <w:r w:rsidRPr="00DF2BD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F2BDC">
        <w:rPr>
          <w:rFonts w:ascii="Times New Roman" w:hAnsi="Times New Roman" w:cs="Times New Roman"/>
          <w:sz w:val="24"/>
          <w:szCs w:val="24"/>
        </w:rPr>
        <w:t>әжілісінде</w:t>
      </w:r>
      <w:proofErr w:type="spellEnd"/>
      <w:r w:rsidRPr="00DF2BDC">
        <w:rPr>
          <w:rFonts w:ascii="Times New Roman" w:hAnsi="Times New Roman" w:cs="Times New Roman"/>
          <w:sz w:val="24"/>
          <w:szCs w:val="24"/>
        </w:rPr>
        <w:t xml:space="preserve"> ҚАРАЛДЫ ЖӘНЕ БЕКІТІЛДІ.</w:t>
      </w:r>
    </w:p>
    <w:p w:rsidR="00DF2BDC" w:rsidRPr="00DF2BDC" w:rsidRDefault="00DF2BDC" w:rsidP="00DF2BDC">
      <w:pPr>
        <w:rPr>
          <w:rFonts w:ascii="Times New Roman" w:hAnsi="Times New Roman" w:cs="Times New Roman"/>
          <w:sz w:val="24"/>
          <w:szCs w:val="24"/>
          <w:lang w:val="kk-KZ"/>
        </w:rPr>
        <w:sectPr w:rsidR="00DF2BDC" w:rsidRPr="00DF2BDC">
          <w:pgSz w:w="11920" w:h="16850"/>
          <w:pgMar w:top="1360" w:right="740" w:bottom="280" w:left="920" w:header="720" w:footer="720" w:gutter="0"/>
          <w:cols w:space="720"/>
        </w:sectPr>
      </w:pPr>
      <w:r w:rsidRPr="00DF2BDC">
        <w:rPr>
          <w:rFonts w:ascii="Times New Roman" w:hAnsi="Times New Roman" w:cs="Times New Roman"/>
          <w:sz w:val="24"/>
          <w:szCs w:val="24"/>
        </w:rPr>
        <w:t xml:space="preserve">  ___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EE3D21" w:rsidRPr="00DF2BDC" w:rsidRDefault="00EE3D21" w:rsidP="00DF2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E3D21" w:rsidRPr="00DF2BDC" w:rsidRDefault="00C67EC6">
      <w:pPr>
        <w:spacing w:before="68" w:after="0" w:line="240" w:lineRule="auto"/>
        <w:ind w:left="2222" w:right="18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КІ</w:t>
      </w:r>
      <w:proofErr w:type="gram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ІСПЕ</w:t>
      </w:r>
    </w:p>
    <w:p w:rsidR="00EE3D21" w:rsidRPr="00DF2BDC" w:rsidRDefault="00EE3D21">
      <w:pPr>
        <w:spacing w:before="3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C6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өткізу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нысаны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Аралас</w:t>
      </w:r>
      <w:proofErr w:type="spell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F2BDC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:</w:t>
      </w:r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br/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кейіннен</w:t>
      </w:r>
      <w:proofErr w:type="spell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ауызша</w:t>
      </w:r>
      <w:proofErr w:type="spell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қорғаумен</w:t>
      </w:r>
      <w:proofErr w:type="spell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жазбаша</w:t>
      </w:r>
      <w:proofErr w:type="spell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жобалық</w:t>
      </w:r>
      <w:proofErr w:type="spell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Емтихан</w:t>
      </w:r>
      <w:proofErr w:type="spell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форматы – </w:t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гибридті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.</w:t>
      </w:r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br/>
      </w:r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СДО </w:t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Moodle</w:t>
      </w:r>
      <w:proofErr w:type="spell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 </w:t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өткізіледі</w:t>
      </w:r>
      <w:proofErr w:type="spell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D21" w:rsidRPr="00DF2BDC" w:rsidRDefault="00EE3D21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Жоба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ұзақ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уақыт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бойы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орындалатын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өзінді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жұмысы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Емтихан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форматы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барлық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мамандықтар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үшін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жарамды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Жоба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алушылардың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практикалық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міндеттер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проблемаларды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шешу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процесінде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өз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білімдерін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өз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бетінше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қолдану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қабілеттерін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бағалауға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ақпараттық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кеңі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ст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ікте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ағдарлануға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қалыптасқан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аналитикалық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зерттеу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дағдыларының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практикалық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шығармашылық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ойлаудың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деңгейін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бағалауға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мүмкіндік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береді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EE3D21" w:rsidRPr="00DF2BDC" w:rsidRDefault="00C67EC6">
      <w:pPr>
        <w:spacing w:after="0" w:line="240" w:lineRule="auto"/>
        <w:ind w:left="708"/>
        <w:jc w:val="center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ЕМТИХАН ӨТКІЗУ РЕГЛАМЕНТІ</w:t>
      </w:r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br/>
      </w:r>
    </w:p>
    <w:p w:rsidR="00EE3D21" w:rsidRPr="00DF2BDC" w:rsidRDefault="00C67EC6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Емтихан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екі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бөлімнен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тұрады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жазбаш</w:t>
      </w:r>
      <w:proofErr w:type="gram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жобаны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іске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асыру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туралы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есеп</w:t>
      </w:r>
      <w:proofErr w:type="spellEnd"/>
    </w:p>
    <w:p w:rsidR="00EE3D21" w:rsidRPr="00DF2BDC" w:rsidRDefault="00C67EC6">
      <w:pPr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іске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асыру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әне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ауызша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жобаны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қорғау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  <w:proofErr w:type="gramEnd"/>
    </w:p>
    <w:p w:rsidR="00EE3D21" w:rsidRPr="00DF2BDC" w:rsidRDefault="00C67EC6">
      <w:pPr>
        <w:spacing w:after="0" w:line="240" w:lineRule="auto"/>
        <w:ind w:firstLine="708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Жобаның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жазбаша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бө</w:t>
      </w:r>
      <w:proofErr w:type="gram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</w:t>
      </w:r>
      <w:proofErr w:type="gram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ігі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Moodle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СДО-да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оқытушы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тағайындаған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мерзімде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орындалады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Мерзім-емтиханның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ауызша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бөлігін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тапсыру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басталғ</w:t>
      </w:r>
      <w:proofErr w:type="gram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</w:t>
      </w:r>
      <w:proofErr w:type="gram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ға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дейін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24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сағат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бұрын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Емтиханның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ауызша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бө</w:t>
      </w:r>
      <w:proofErr w:type="gram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</w:t>
      </w:r>
      <w:proofErr w:type="gram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ігі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емтихан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кестесінде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көрсетілген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уақыт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бойынша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өткізіледі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.</w:t>
      </w:r>
    </w:p>
    <w:p w:rsidR="00EE3D21" w:rsidRPr="00DF2BDC" w:rsidRDefault="00EE3D21">
      <w:pPr>
        <w:spacing w:after="0" w:line="240" w:lineRule="auto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Назар </w:t>
      </w:r>
      <w:proofErr w:type="spellStart"/>
      <w:r w:rsidRPr="00DF2B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аударыңыз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Қорытынды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есептерді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 </w:t>
      </w:r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docx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форматта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жүктеуге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ұқсат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етіледі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br/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Қосымша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файлдар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болған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жағдайда-суреттер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графиктер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листингтер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 б.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тапсырмаға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тиісті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форматтарда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жүктелуі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мүмкін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ол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үшін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тапсырма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элементін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жасау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кезінде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DOCX-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тен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басқа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форматтағы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деректер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файлдарын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жүктеу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мүмкіндігін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орнатыңыз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  <w:proofErr w:type="gramEnd"/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Жүктелетін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файлдардың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мөлшері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30 Мб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аспауы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керек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Үлкен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көлемдегі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файлдарды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жіберу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қажет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болған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жағдайда-білім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алушылар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файлдарды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бұлтты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оймалар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жүктейді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оларға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сілтемелерді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есеп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мәтінінде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жариялайды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C67EC6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</w:t>
      </w:r>
      <w:proofErr w:type="gram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алушылар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есебінің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мазмұнының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мысалы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:</w:t>
      </w:r>
    </w:p>
    <w:p w:rsidR="00EE3D21" w:rsidRPr="00DF2BDC" w:rsidRDefault="00EE3D21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Кі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іспе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бөлім</w:t>
      </w:r>
      <w:proofErr w:type="spellEnd"/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нақты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жүктелетін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құжат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авторының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аты-жөні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көрсете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отырып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топ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тізімі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тапсырманы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қысқаша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сипаттамасы-бұл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қойылған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міндет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мұғалімнің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бүкіл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құжатын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көшірудің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қажеті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жоқ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Негізгі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бө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ігі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қол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жеткізілген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нәтижелердің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сипаттамасы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тапсырмаға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баяндама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суреттер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бейнежазбаларға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сілтемелер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диаграммалар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графиктер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 б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тү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інде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қойылған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тапсырманы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тікелей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шешу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);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кейс-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тапсырманың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орындалу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барысының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сипаттамасы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тапсырманы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орындау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барысында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туындаған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ауытқулар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қиындықтарды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сондай-ақ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оларды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жеңудің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қолданылған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жолдарын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сипаттау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Топтық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жұмы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топты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жұмыс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жағдайында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):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топ </w:t>
      </w:r>
      <w:proofErr w:type="spellStart"/>
      <w:proofErr w:type="gram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proofErr w:type="gram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үшелері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: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жоба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тапсырмаларын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орындауға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өздерінің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жеке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үлестерін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сипаттаңыз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әрбі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қол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жеткізген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нәтижелерін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олардың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жобаны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орындау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үшін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маңыздылығын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ашады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топ капитан</w:t>
      </w:r>
      <w:proofErr w:type="gram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бейнежазбаға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жауапты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жобаның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орындалуына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өз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үлесін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сипаттайды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Бұдан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басқа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капитанның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есебінде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топтың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әрбі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қатысушысы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орындаған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жұмыс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көрсетіледі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топтың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қалған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мүшелерінің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есептерінен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Әрбір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алушыны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ұмыс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сипаттамасы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есепте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жеке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тараулармен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немесе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мәтіндегі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блоктарға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гиперсілтемелер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арқылы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ресімделеді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онда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нақты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қатысушы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жасаған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жұмыстың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сипаттамасы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беріледі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Капитан </w:t>
      </w:r>
      <w:proofErr w:type="spellStart"/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ты</w:t>
      </w:r>
      <w:proofErr w:type="spellEnd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жұмыс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сипаттамасын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осы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тегі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аты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әкесінің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атынан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бастауы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керек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Қажет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болған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жағдайда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капитан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жұмысына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түсініктеме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қалдырады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Қорытынды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Атқарылғ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ұмыс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бойынша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қорытындылар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Әдебиет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Пайдаланылған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әдебиеттер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тізімі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D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жобада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қолданылған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міндеттерді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шешудің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әдістері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технологияларының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сипаттамасы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бағдарламалар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құралдар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негізгі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құ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жаттар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сілтемелер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әдістемелер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F2B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Назар </w:t>
      </w:r>
      <w:proofErr w:type="spellStart"/>
      <w:r w:rsidRPr="00DF2B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аударыңыз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Әрбі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өз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есебінде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кіріспе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негізгі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бөліктерді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қорытындыны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әдеби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етті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жазуы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тиіс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топтық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жоба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жағдайында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барлығы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бірдей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Командалық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жұмыс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блогында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мұғалімнің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алға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қойған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міндетін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шешуге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қосқан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үлесін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ғана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сипаттайды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яғни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бұл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блок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есепте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ерекше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болады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әрбір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алушының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жетістіктері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тізімделуі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іс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топ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капитанының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есебін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қоспағанда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Маңызды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Емтихан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жұмысын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тү</w:t>
      </w:r>
      <w:proofErr w:type="gram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пн</w:t>
      </w:r>
      <w:proofErr w:type="gram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ұсқалығын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тексеру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.</w:t>
      </w:r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Жеке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жобалық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жағдайында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алушының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есебі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асырылған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қарыз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алулар</w:t>
      </w:r>
      <w:proofErr w:type="gram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бағаланады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EE3D21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</w:p>
    <w:p w:rsidR="00EE3D21" w:rsidRPr="00DF2BDC" w:rsidRDefault="00C67EC6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2 </w:t>
      </w:r>
      <w:proofErr w:type="spell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бө</w:t>
      </w:r>
      <w:proofErr w:type="gramStart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DF2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. </w:t>
      </w:r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АУЫЗША ҚОРҒАУ</w:t>
      </w:r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.</w:t>
      </w:r>
    </w:p>
    <w:p w:rsidR="00EE3D21" w:rsidRPr="00DF2BDC" w:rsidRDefault="00EE3D21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</w:p>
    <w:p w:rsidR="00EE3D21" w:rsidRPr="00DF2BDC" w:rsidRDefault="00C67EC6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Емтиханны</w:t>
      </w:r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ң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ауызша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бө</w:t>
      </w:r>
      <w:proofErr w:type="gram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proofErr w:type="gram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ігі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емтихан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кестесінде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уақыт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бойынша</w:t>
      </w:r>
      <w:proofErr w:type="spellEnd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color w:val="000000"/>
          <w:sz w:val="24"/>
          <w:szCs w:val="24"/>
        </w:rPr>
        <w:t>өткізіледі</w:t>
      </w:r>
      <w:proofErr w:type="spellEnd"/>
      <w:r w:rsidRPr="00DF2BD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E3D21" w:rsidRPr="00DF2BDC" w:rsidRDefault="00C67EC6">
      <w:pPr>
        <w:spacing w:after="0" w:line="240" w:lineRule="auto"/>
        <w:ind w:left="708"/>
        <w:jc w:val="both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Емтиханның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ауызша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бө</w:t>
      </w:r>
      <w:proofErr w:type="gram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</w:t>
      </w:r>
      <w:proofErr w:type="gram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ігі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офлайн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режимінде</w:t>
      </w:r>
      <w:proofErr w:type="spellEnd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өткізіледі</w:t>
      </w:r>
      <w:proofErr w:type="spellEnd"/>
      <w:r w:rsidRPr="00DF2BDC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.</w:t>
      </w:r>
    </w:p>
    <w:p w:rsidR="00EE3D21" w:rsidRPr="00DF2BDC" w:rsidRDefault="00EE3D21">
      <w:pPr>
        <w:spacing w:after="0" w:line="240" w:lineRule="auto"/>
        <w:ind w:left="708"/>
        <w:jc w:val="both"/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</w:p>
    <w:p w:rsidR="00EE3D21" w:rsidRPr="00DF2BDC" w:rsidRDefault="00EE3D2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EE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C67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Жоба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нысанындағы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емтиханды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ұйымдастыру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мақсаты</w:t>
      </w:r>
      <w:proofErr w:type="spellEnd"/>
    </w:p>
    <w:p w:rsidR="00EE3D21" w:rsidRPr="00DF2BDC" w:rsidRDefault="00C67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Жо</w:t>
      </w:r>
      <w:r w:rsidRPr="00DF2BDC">
        <w:rPr>
          <w:rFonts w:ascii="Times New Roman" w:eastAsia="Times New Roman" w:hAnsi="Times New Roman" w:cs="Times New Roman"/>
          <w:sz w:val="24"/>
          <w:szCs w:val="24"/>
        </w:rPr>
        <w:t>ғары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мектептің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жүйелерінің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талаптарының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DF2BD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F2BD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BDC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студентер</w:t>
      </w:r>
      <w:r w:rsidR="00DF2BD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BDC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құзыреттілік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жүйесін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қалыптастыру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. Осы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мақсатқа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жетудің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әдіс</w:t>
      </w:r>
      <w:proofErr w:type="gramStart"/>
      <w:r w:rsidRPr="00DF2BDC"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 w:rsidRPr="00DF2BDC">
        <w:rPr>
          <w:rFonts w:ascii="Times New Roman" w:eastAsia="Times New Roman" w:hAnsi="Times New Roman" w:cs="Times New Roman"/>
          <w:sz w:val="24"/>
          <w:szCs w:val="24"/>
        </w:rPr>
        <w:t>Жоба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әдісі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3D21" w:rsidRPr="00DF2BDC" w:rsidRDefault="00C67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Жоба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докторанттың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дербес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ғылыми-практикалық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зерттеуі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оқ</w:t>
      </w:r>
      <w:r w:rsidRPr="00DF2BD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кезеңінде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айтқанда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таңдалған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тақырып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2BDC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Pr="00DF2BDC">
        <w:rPr>
          <w:rFonts w:ascii="Times New Roman" w:eastAsia="Times New Roman" w:hAnsi="Times New Roman" w:cs="Times New Roman"/>
          <w:sz w:val="24"/>
          <w:szCs w:val="24"/>
        </w:rPr>
        <w:t>ған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білімдерін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шоғырландыру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жүйелеу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алған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білімдерін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механиканың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2B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F2BDC">
        <w:rPr>
          <w:rFonts w:ascii="Times New Roman" w:eastAsia="Times New Roman" w:hAnsi="Times New Roman" w:cs="Times New Roman"/>
          <w:sz w:val="24"/>
          <w:szCs w:val="24"/>
        </w:rPr>
        <w:t>қты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практикалық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мәселелерін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шешу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практикада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қолдану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шешуде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ұстанымын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тұжырымдау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дәлелдеу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F2BDC">
        <w:rPr>
          <w:rFonts w:ascii="Times New Roman" w:eastAsia="Times New Roman" w:hAnsi="Times New Roman" w:cs="Times New Roman"/>
          <w:sz w:val="24"/>
          <w:szCs w:val="24"/>
        </w:rPr>
        <w:t>ғдыларын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үйрету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3D21" w:rsidRPr="00DF2BDC" w:rsidRDefault="00C67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Емтихан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жобасы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оқ</w:t>
      </w:r>
      <w:proofErr w:type="gramStart"/>
      <w:r w:rsidRPr="00DF2BD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семестрінде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орындалады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алушылардың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практикалық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міндеттер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проблемаларды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шешу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процесінде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білімдерін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бетінше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қолдану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қабілеттерін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бағалауға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ақпараттық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кеңі</w:t>
      </w:r>
      <w:proofErr w:type="gramStart"/>
      <w:r w:rsidRPr="00DF2BD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DF2BDC">
        <w:rPr>
          <w:rFonts w:ascii="Times New Roman" w:eastAsia="Times New Roman" w:hAnsi="Times New Roman" w:cs="Times New Roman"/>
          <w:sz w:val="24"/>
          <w:szCs w:val="24"/>
        </w:rPr>
        <w:t>ікте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бағдарлауға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аналитикалық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зерттеу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дағдыларының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практикалық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шығармашылық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ойлаудың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қалыптасу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деңгейін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бағалауға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мүмкіндік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DF2B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D21" w:rsidRPr="00DF2BDC" w:rsidRDefault="00EE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D21" w:rsidRPr="00DF2BDC" w:rsidRDefault="00C6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Жобаны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орындау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кезеңдері</w:t>
      </w:r>
      <w:proofErr w:type="spellEnd"/>
    </w:p>
    <w:p w:rsidR="00EE3D21" w:rsidRPr="00DF2BDC" w:rsidRDefault="00EE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7533"/>
        <w:gridCol w:w="1276"/>
      </w:tblGrid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мәселені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іну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="00DF2BDC"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әселенің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өзектілігін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DF2BDC"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зерттелетін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әселенің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="00DF2BDC"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тапсырманың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тұжырымын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тұжырымдау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DF2BDC"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тұжырымын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тұжырымдау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модель: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теңдеулер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шекаралық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шарттар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DF2BDC"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таңдаңыз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ғдарламаларды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таңдауды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DF2BDC"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</w:t>
            </w:r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әд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істемесін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DF2BDC"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</w:t>
            </w:r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кестелер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графиктер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10-13 </w:t>
            </w:r>
            <w:proofErr w:type="spellStart"/>
            <w:r w:rsidR="00DF2BDC"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DF2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әсімдеу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="00DF2BDC"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</w:tbl>
    <w:p w:rsidR="00EE3D21" w:rsidRPr="00DF2BDC" w:rsidRDefault="00EE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D21" w:rsidRPr="00DF2BDC" w:rsidRDefault="00C67E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Жоба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есептің</w:t>
      </w:r>
      <w:proofErr w:type="spellEnd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мазмұны</w:t>
      </w:r>
      <w:proofErr w:type="spellEnd"/>
    </w:p>
    <w:p w:rsidR="00EE3D21" w:rsidRPr="00DF2BDC" w:rsidRDefault="00EE3D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16"/>
        <w:gridCol w:w="7314"/>
        <w:gridCol w:w="850"/>
      </w:tblGrid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ind w:left="994" w:hanging="9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іспе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шолу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Мәселенің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өзектілігі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тұжырымы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теңдеулер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шекаралық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шарттар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зертханалы</w:t>
            </w: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ғдарламаларды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таңдаудың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негіздемесі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</w:t>
            </w:r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әд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істемесі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D21" w:rsidRPr="00DF2B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C6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Пайдаланылған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дереккөздердің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D21" w:rsidRPr="00DF2BDC" w:rsidRDefault="00EE3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3D21" w:rsidRPr="00DF2BDC" w:rsidRDefault="00C67EC6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D21" w:rsidRPr="00DF2BDC" w:rsidRDefault="00EE3D2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D21" w:rsidRPr="00DF2BDC" w:rsidRDefault="00C6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БА</w:t>
      </w:r>
      <w:r w:rsidRPr="00DF2BDC">
        <w:rPr>
          <w:rFonts w:ascii="Times New Roman" w:eastAsia="Times New Roman" w:hAnsi="Times New Roman" w:cs="Times New Roman"/>
          <w:b/>
          <w:sz w:val="24"/>
          <w:szCs w:val="24"/>
        </w:rPr>
        <w:t>ҒАЛАУ КРИТЕРИЙЛЕРІ</w:t>
      </w:r>
    </w:p>
    <w:p w:rsidR="00EE3D21" w:rsidRPr="00DF2BDC" w:rsidRDefault="00EE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9" w:type="dxa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y2iqfc"/>
                <w:color w:val="202124"/>
                <w:lang w:val="kk-KZ" w:eastAsia="zh-CN"/>
              </w:rPr>
              <w:t>Әріптік жүйе бойынша бағалау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Сандық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эквивалент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дық мазмұны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zh-CN"/>
              </w:rPr>
            </w:pPr>
            <w:r>
              <w:rPr>
                <w:rStyle w:val="y2iqfc"/>
                <w:color w:val="202124"/>
                <w:lang w:val="kk-KZ" w:eastAsia="zh-CN"/>
              </w:rPr>
              <w:t>Дәстүрлі жүйе бойынша бағалау</w:t>
            </w: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Өте жақсы</w:t>
            </w: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  <w:hideMark/>
          </w:tcPr>
          <w:p w:rsidR="00C67EC6" w:rsidRDefault="00C67E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В+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Жақсы</w:t>
            </w: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  <w:hideMark/>
          </w:tcPr>
          <w:p w:rsidR="00C67EC6" w:rsidRDefault="00C67E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  <w:hideMark/>
          </w:tcPr>
          <w:p w:rsidR="00C67EC6" w:rsidRDefault="00C67E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С+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2,33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  <w:hideMark/>
          </w:tcPr>
          <w:p w:rsidR="00C67EC6" w:rsidRDefault="00C67E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  <w:hideMark/>
          </w:tcPr>
          <w:p w:rsidR="00C67EC6" w:rsidRDefault="00C67E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D+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  <w:hideMark/>
          </w:tcPr>
          <w:p w:rsidR="00C67EC6" w:rsidRDefault="00C67E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D-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  <w:hideMark/>
          </w:tcPr>
          <w:p w:rsidR="00C67EC6" w:rsidRDefault="00C67E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FX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Қанағаттанарлықсыз</w:t>
            </w:r>
          </w:p>
        </w:tc>
      </w:tr>
      <w:tr w:rsidR="00C67EC6" w:rsidTr="00C67EC6">
        <w:trPr>
          <w:trHeight w:val="30"/>
          <w:jc w:val="center"/>
        </w:trPr>
        <w:tc>
          <w:tcPr>
            <w:tcW w:w="2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7EC6" w:rsidRDefault="00C6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0-24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7EC6" w:rsidRDefault="00C67EC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E3D21" w:rsidRPr="00DF2BDC" w:rsidRDefault="00EE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E3D21" w:rsidRPr="00DF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5511"/>
    <w:multiLevelType w:val="multilevel"/>
    <w:tmpl w:val="7CC61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27497D"/>
    <w:multiLevelType w:val="multilevel"/>
    <w:tmpl w:val="2F24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B72A3"/>
    <w:multiLevelType w:val="multilevel"/>
    <w:tmpl w:val="74007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742AFE"/>
    <w:multiLevelType w:val="multilevel"/>
    <w:tmpl w:val="28D00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21"/>
    <w:rsid w:val="00C67EC6"/>
    <w:rsid w:val="00DF2BDC"/>
    <w:rsid w:val="00E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F2BDC"/>
    <w:pPr>
      <w:widowControl w:val="0"/>
      <w:autoSpaceDE w:val="0"/>
      <w:autoSpaceDN w:val="0"/>
      <w:spacing w:after="0" w:line="240" w:lineRule="auto"/>
      <w:ind w:left="2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2BD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DF2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2BD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67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7EC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67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F2BDC"/>
    <w:pPr>
      <w:widowControl w:val="0"/>
      <w:autoSpaceDE w:val="0"/>
      <w:autoSpaceDN w:val="0"/>
      <w:spacing w:after="0" w:line="240" w:lineRule="auto"/>
      <w:ind w:left="2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2BD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DF2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2BD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67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7EC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6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Bekzat</cp:lastModifiedBy>
  <cp:revision>2</cp:revision>
  <dcterms:created xsi:type="dcterms:W3CDTF">2023-10-24T14:52:00Z</dcterms:created>
  <dcterms:modified xsi:type="dcterms:W3CDTF">2023-10-24T14:52:00Z</dcterms:modified>
</cp:coreProperties>
</file>